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0EEC" w:rsidRPr="00700EEC" w:rsidRDefault="00700EEC" w:rsidP="00700EEC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</w:pPr>
      <w:r w:rsidRPr="00700EE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Анализ финансово-хозяйственной деятельности</w:t>
      </w:r>
      <w:r w:rsidRPr="00700EE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br/>
        <w:t>МКУ «Реабилитационный центр» за 201</w:t>
      </w:r>
      <w:r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>6</w:t>
      </w:r>
      <w:r w:rsidRPr="00700EEC">
        <w:rPr>
          <w:rFonts w:ascii="Arial" w:eastAsia="Times New Roman" w:hAnsi="Arial" w:cs="Arial"/>
          <w:b/>
          <w:bCs/>
          <w:color w:val="333333"/>
          <w:sz w:val="27"/>
          <w:szCs w:val="27"/>
          <w:lang w:eastAsia="ru-RU"/>
        </w:rPr>
        <w:t xml:space="preserve"> год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b/>
          <w:bCs/>
          <w:color w:val="333333"/>
          <w:sz w:val="20"/>
          <w:lang w:eastAsia="ru-RU"/>
        </w:rPr>
        <w:t> </w:t>
      </w:r>
    </w:p>
    <w:tbl>
      <w:tblPr>
        <w:tblW w:w="10590" w:type="dxa"/>
        <w:tblCellSpacing w:w="15" w:type="dxa"/>
        <w:tblBorders>
          <w:top w:val="dashed" w:sz="6" w:space="0" w:color="BBBBBB"/>
          <w:left w:val="dashed" w:sz="6" w:space="0" w:color="BBBBBB"/>
          <w:bottom w:val="dashed" w:sz="6" w:space="0" w:color="BBBBBB"/>
          <w:right w:val="dashed" w:sz="6" w:space="0" w:color="BBBBBB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35"/>
        <w:gridCol w:w="912"/>
        <w:gridCol w:w="1131"/>
        <w:gridCol w:w="1363"/>
        <w:gridCol w:w="1661"/>
        <w:gridCol w:w="1488"/>
      </w:tblGrid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Наименование статьи расходов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КОСГУ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Лимит,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тыс. руб.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Кассовые расходы,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тыс. руб.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Фактические расходы,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тыс. руб.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% выполнения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10020850070170</w:t>
            </w:r>
            <w:r w:rsidRPr="00700EEC"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 xml:space="preserve"> (Субвенции)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17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469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16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827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6477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102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Заработная плата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11570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11255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11020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102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Прочие выплаты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2,0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Начисления на выплаты по оплате труда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3606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3325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3324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0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Транспортные услуги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33,8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24,1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140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Коммунальные услуги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280,4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276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270</w:t>
            </w: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102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BC295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BC295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112,3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BC295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91</w:t>
            </w:r>
            <w:r w:rsidR="00700EEC"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BC295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123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Прочие работы, услуги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112,4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111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Прочие расходы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147,7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147,5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1497,8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1491,7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1425,4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105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6959F7">
              <w:rPr>
                <w:rFonts w:ascii="Verdana" w:eastAsia="Times New Roman" w:hAnsi="Verdana" w:cs="Arial"/>
                <w:b/>
                <w:color w:val="000000"/>
                <w:sz w:val="17"/>
                <w:szCs w:val="17"/>
                <w:lang w:eastAsia="ru-RU"/>
              </w:rPr>
              <w:t>10030860070190</w:t>
            </w: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br/>
              <w:t>пособия по социальной помощи населению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</w:t>
            </w:r>
            <w:r w:rsidR="009D0B2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</w:t>
            </w:r>
            <w:r w:rsidR="009D0B2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15</w:t>
            </w:r>
            <w:r w:rsidR="009D0B28"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6959F7" w:rsidP="006959F7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  <w:t>100</w:t>
            </w:r>
          </w:p>
        </w:tc>
      </w:tr>
      <w:tr w:rsidR="00700EEC" w:rsidRPr="00700EEC" w:rsidTr="00700EEC">
        <w:trPr>
          <w:tblCellSpacing w:w="15" w:type="dxa"/>
        </w:trPr>
        <w:tc>
          <w:tcPr>
            <w:tcW w:w="3990" w:type="dxa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Итого расходов: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700EEC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 w:rsidRPr="00700EEC"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9D0B28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17484,9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9D0B28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16942,9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9D0B28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16492</w:t>
            </w:r>
          </w:p>
        </w:tc>
        <w:tc>
          <w:tcPr>
            <w:tcW w:w="0" w:type="auto"/>
            <w:tcBorders>
              <w:top w:val="dashed" w:sz="6" w:space="0" w:color="BBBBBB"/>
              <w:left w:val="dashed" w:sz="6" w:space="0" w:color="BBBBBB"/>
              <w:bottom w:val="dashed" w:sz="6" w:space="0" w:color="BBBBBB"/>
              <w:right w:val="dashed" w:sz="6" w:space="0" w:color="BBBBBB"/>
            </w:tcBorders>
            <w:vAlign w:val="center"/>
            <w:hideMark/>
          </w:tcPr>
          <w:p w:rsidR="00700EEC" w:rsidRPr="00700EEC" w:rsidRDefault="009D0B28" w:rsidP="00700EEC">
            <w:pPr>
              <w:spacing w:before="125" w:after="125" w:line="240" w:lineRule="auto"/>
              <w:ind w:left="125" w:right="125"/>
              <w:rPr>
                <w:rFonts w:ascii="Verdana" w:eastAsia="Times New Roman" w:hAnsi="Verdana" w:cs="Arial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Arial"/>
                <w:b/>
                <w:bCs/>
                <w:color w:val="000000"/>
                <w:sz w:val="17"/>
                <w:lang w:eastAsia="ru-RU"/>
              </w:rPr>
              <w:t>102</w:t>
            </w:r>
          </w:p>
        </w:tc>
      </w:tr>
    </w:tbl>
    <w:p w:rsidR="009D0B28" w:rsidRDefault="009D0B28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9D0B28">
        <w:rPr>
          <w:rFonts w:ascii="Arial" w:eastAsia="Times New Roman" w:hAnsi="Arial" w:cs="Arial"/>
          <w:b/>
          <w:color w:val="333333"/>
          <w:sz w:val="44"/>
          <w:szCs w:val="20"/>
          <w:lang w:eastAsia="ru-RU"/>
        </w:rPr>
        <w:t>*</w:t>
      </w:r>
      <w:r w:rsidRPr="009D0B28">
        <w:rPr>
          <w:rFonts w:ascii="Arial" w:eastAsia="Times New Roman" w:hAnsi="Arial" w:cs="Arial"/>
          <w:b/>
          <w:color w:val="333333"/>
          <w:sz w:val="20"/>
          <w:szCs w:val="20"/>
          <w:lang w:eastAsia="ru-RU"/>
        </w:rPr>
        <w:t>Примечание</w:t>
      </w: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: больше 100% исполнения с учетом кредиторской задолженности на 01.01.16г.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Учреждение не оказывает платные услуги.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Добровольные пожертвования за 201</w:t>
      </w:r>
      <w:r w:rsidR="006959F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г. составили – </w:t>
      </w:r>
      <w:r w:rsidR="006959F7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112,3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тыс. руб.</w:t>
      </w:r>
    </w:p>
    <w:p w:rsidR="00C76DA0" w:rsidRDefault="00700EEC" w:rsidP="00C76DA0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 том числе: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</w:t>
      </w:r>
    </w:p>
    <w:p w:rsidR="00C76DA0" w:rsidRDefault="00C76DA0" w:rsidP="00C76DA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proofErr w:type="gramStart"/>
      <w:r w:rsidRP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о</w:t>
      </w:r>
      <w:r w:rsidR="006959F7" w:rsidRP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борудование</w:t>
      </w:r>
      <w:r w:rsidRP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, к</w:t>
      </w:r>
      <w:r w:rsidR="006959F7" w:rsidRP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овровые </w:t>
      </w:r>
      <w:r w:rsidRP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дорожки, насос, триммер, тренажеры,  электронный синтезатор на сумму – 74,2 тыс. руб.</w:t>
      </w:r>
      <w:proofErr w:type="gramEnd"/>
    </w:p>
    <w:p w:rsidR="00C76DA0" w:rsidRPr="00C76DA0" w:rsidRDefault="00C76DA0" w:rsidP="00C76DA0">
      <w:pPr>
        <w:pStyle w:val="a5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пастельное белье, новогодние подарки на сумму – 38,1 тыс</w:t>
      </w:r>
      <w:proofErr w:type="gramStart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.р</w:t>
      </w:r>
      <w:proofErr w:type="gramEnd"/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уб.</w:t>
      </w:r>
    </w:p>
    <w:p w:rsidR="00C76DA0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Затраты на 1 обслуживаемого: круглосуточное пребывание в 201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г. – 2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009,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1  руб. дневное пребывание – 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489,52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руб.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Приобретение продуктов питания:</w:t>
      </w:r>
    </w:p>
    <w:p w:rsidR="00700EEC" w:rsidRPr="00700EEC" w:rsidRDefault="00C76DA0" w:rsidP="00700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ru-RU"/>
        </w:rPr>
        <w:lastRenderedPageBreak/>
        <w:t xml:space="preserve">факт – 936,9 </w:t>
      </w:r>
      <w:r w:rsidR="00700EEC"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тыс. руб.;</w:t>
      </w:r>
    </w:p>
    <w:p w:rsidR="00700EEC" w:rsidRPr="00700EEC" w:rsidRDefault="00700EEC" w:rsidP="00700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средняя стоимость питания  201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6 г. – 159,36 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руб. (круглосуточное пребывание)</w:t>
      </w:r>
    </w:p>
    <w:p w:rsidR="00700EEC" w:rsidRPr="00700EEC" w:rsidRDefault="00700EEC" w:rsidP="00700EE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выполнение норм питания - 99%.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Среднесписочная численность персонала 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–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5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8 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чел.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Численность согласно штатному расписанию – 71,25 шт. ед.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Фонд оплаты труда 201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6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г.: 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план 14348 тыс. руб.; факт 14346,3 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тыс. руб.</w:t>
      </w:r>
    </w:p>
    <w:p w:rsidR="00700EEC" w:rsidRPr="00700EEC" w:rsidRDefault="00700EEC" w:rsidP="00700EE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0"/>
          <w:szCs w:val="20"/>
          <w:lang w:eastAsia="ru-RU"/>
        </w:rPr>
      </w:pP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Средняя зара</w:t>
      </w:r>
      <w:r w:rsidR="00C76DA0">
        <w:rPr>
          <w:rFonts w:ascii="Arial" w:eastAsia="Times New Roman" w:hAnsi="Arial" w:cs="Arial"/>
          <w:color w:val="333333"/>
          <w:sz w:val="20"/>
          <w:szCs w:val="20"/>
          <w:lang w:eastAsia="ru-RU"/>
        </w:rPr>
        <w:t>ботная плата сотрудников – 15790</w:t>
      </w:r>
      <w:r w:rsidRPr="00700EEC">
        <w:rPr>
          <w:rFonts w:ascii="Arial" w:eastAsia="Times New Roman" w:hAnsi="Arial" w:cs="Arial"/>
          <w:color w:val="333333"/>
          <w:sz w:val="20"/>
          <w:szCs w:val="20"/>
          <w:lang w:eastAsia="ru-RU"/>
        </w:rPr>
        <w:t xml:space="preserve"> руб.</w:t>
      </w:r>
    </w:p>
    <w:p w:rsidR="00446BDA" w:rsidRDefault="00446BDA"/>
    <w:sectPr w:rsidR="00446BDA" w:rsidSect="00700EE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F00B4"/>
    <w:multiLevelType w:val="multilevel"/>
    <w:tmpl w:val="2A9C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394610"/>
    <w:multiLevelType w:val="multilevel"/>
    <w:tmpl w:val="BE9A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B21351"/>
    <w:multiLevelType w:val="hybridMultilevel"/>
    <w:tmpl w:val="87D45F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401D20"/>
    <w:multiLevelType w:val="hybridMultilevel"/>
    <w:tmpl w:val="12C0A0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0EEC"/>
    <w:rsid w:val="00446BDA"/>
    <w:rsid w:val="006959F7"/>
    <w:rsid w:val="00700EEC"/>
    <w:rsid w:val="009D0B28"/>
    <w:rsid w:val="00BC295C"/>
    <w:rsid w:val="00C7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BDA"/>
  </w:style>
  <w:style w:type="paragraph" w:styleId="3">
    <w:name w:val="heading 3"/>
    <w:basedOn w:val="a"/>
    <w:link w:val="30"/>
    <w:uiPriority w:val="9"/>
    <w:qFormat/>
    <w:rsid w:val="00700E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00E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70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00EEC"/>
    <w:rPr>
      <w:b/>
      <w:bCs/>
    </w:rPr>
  </w:style>
  <w:style w:type="paragraph" w:styleId="a5">
    <w:name w:val="List Paragraph"/>
    <w:basedOn w:val="a"/>
    <w:uiPriority w:val="34"/>
    <w:qFormat/>
    <w:rsid w:val="006959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9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UserCompIV</dc:creator>
  <cp:keywords/>
  <dc:description/>
  <cp:lastModifiedBy>UserCompIV</cp:lastModifiedBy>
  <cp:revision>4</cp:revision>
  <cp:lastPrinted>2017-03-09T02:00:00Z</cp:lastPrinted>
  <dcterms:created xsi:type="dcterms:W3CDTF">2017-03-09T01:30:00Z</dcterms:created>
  <dcterms:modified xsi:type="dcterms:W3CDTF">2017-03-09T02:14:00Z</dcterms:modified>
</cp:coreProperties>
</file>